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D1" w:rsidRDefault="00F77CD1" w:rsidP="003068FD">
      <w:pPr>
        <w:spacing w:before="100" w:beforeAutospacing="1" w:after="100" w:afterAutospacing="1" w:line="240" w:lineRule="auto"/>
        <w:ind w:firstLine="709"/>
        <w:rPr>
          <w:rFonts w:ascii="Baltica RR" w:eastAsia="Times New Roman" w:hAnsi="Baltica RR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3068FD" w:rsidRPr="00F77CD1" w:rsidRDefault="003068FD" w:rsidP="003068FD">
      <w:pPr>
        <w:spacing w:before="100" w:beforeAutospacing="1" w:after="100" w:afterAutospacing="1" w:line="240" w:lineRule="auto"/>
        <w:ind w:firstLine="709"/>
        <w:rPr>
          <w:rFonts w:ascii="Baltica RR" w:eastAsia="Times New Roman" w:hAnsi="Baltica RR" w:cs="Times New Roman"/>
          <w:b/>
          <w:sz w:val="28"/>
          <w:szCs w:val="28"/>
          <w:lang w:val="ro-RO"/>
        </w:rPr>
      </w:pPr>
      <w:r w:rsidRPr="00F77CD1">
        <w:rPr>
          <w:rFonts w:ascii="Baltica RR" w:eastAsia="Times New Roman" w:hAnsi="Baltica RR" w:cs="Times New Roman"/>
          <w:b/>
          <w:sz w:val="28"/>
          <w:szCs w:val="28"/>
          <w:lang w:val="ro-RO"/>
        </w:rPr>
        <w:t>Tabelul punctelor de calitate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5814"/>
        <w:gridCol w:w="2908"/>
      </w:tblGrid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Nr.</w:t>
            </w:r>
          </w:p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Factorii de evaluare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Punctajul acordat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Preţul ofertei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80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Termenul de executare al lucrărilor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1A7FF3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5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Termenul de garanție al lucrărilor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1A7FF3" w:rsidP="00ED0D78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5</w:t>
            </w:r>
          </w:p>
        </w:tc>
      </w:tr>
      <w:tr w:rsidR="001A7FF3" w:rsidRPr="004729FC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1A7FF3" w:rsidRDefault="004729FC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1A7FF3" w:rsidRPr="004729FC" w:rsidRDefault="004729FC" w:rsidP="003068FD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S</w:t>
            </w:r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istemul</w:t>
            </w:r>
            <w:proofErr w:type="spellEnd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calității</w:t>
            </w:r>
            <w:proofErr w:type="spellEnd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propus</w:t>
            </w:r>
            <w:proofErr w:type="spellEnd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execuția</w:t>
            </w:r>
            <w:proofErr w:type="spellEnd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9FC">
              <w:rPr>
                <w:rFonts w:ascii="Baltica RR" w:eastAsia="Times New Roman" w:hAnsi="Baltica RR" w:cs="Times New Roman"/>
                <w:sz w:val="24"/>
                <w:szCs w:val="24"/>
                <w:lang w:val="en-US"/>
              </w:rPr>
              <w:t>lucrării</w:t>
            </w:r>
            <w:proofErr w:type="spellEnd"/>
          </w:p>
        </w:tc>
        <w:tc>
          <w:tcPr>
            <w:tcW w:w="1556" w:type="pct"/>
            <w:shd w:val="clear" w:color="auto" w:fill="auto"/>
            <w:vAlign w:val="center"/>
          </w:tcPr>
          <w:p w:rsidR="001A7FF3" w:rsidRDefault="004729FC" w:rsidP="00ED0D78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100</w:t>
            </w:r>
          </w:p>
        </w:tc>
      </w:tr>
    </w:tbl>
    <w:p w:rsidR="003068FD" w:rsidRPr="003068FD" w:rsidRDefault="003068FD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3068FD" w:rsidRPr="003068FD" w:rsidRDefault="003068FD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„preţul ofertei”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3068FD" w:rsidRPr="003068FD" w:rsidRDefault="003068FD" w:rsidP="00A107E5">
      <w:pPr>
        <w:numPr>
          <w:ilvl w:val="0"/>
          <w:numId w:val="1"/>
        </w:numPr>
        <w:tabs>
          <w:tab w:val="clear" w:pos="1215"/>
          <w:tab w:val="num" w:pos="630"/>
          <w:tab w:val="left" w:pos="108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pentru cel mai scăzut dintre preţurile ofertelor se acordă punctajul maxim alocat factorului de evaluare respectiv;</w:t>
      </w:r>
    </w:p>
    <w:p w:rsidR="003068FD" w:rsidRPr="003068FD" w:rsidRDefault="003068FD" w:rsidP="00A107E5">
      <w:pPr>
        <w:numPr>
          <w:ilvl w:val="0"/>
          <w:numId w:val="1"/>
        </w:numPr>
        <w:tabs>
          <w:tab w:val="left" w:pos="630"/>
        </w:tabs>
        <w:spacing w:after="0" w:line="240" w:lineRule="auto"/>
        <w:ind w:left="-1" w:firstLine="1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preţ decît cel  prevăzut la lit. </w:t>
      </w:r>
      <w:r w:rsidR="00757A09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a).,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se acordă punctajul astfel:</w:t>
      </w:r>
    </w:p>
    <w:p w:rsidR="003068FD" w:rsidRPr="003068FD" w:rsidRDefault="003068FD" w:rsidP="00A107E5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P(n) = (preţ minim/preţ (n) x punctajului maxim alocat).</w:t>
      </w:r>
    </w:p>
    <w:p w:rsidR="005447A1" w:rsidRDefault="003068FD" w:rsidP="00A107E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Preţurile care se compară în </w:t>
      </w:r>
      <w:r w:rsidR="00757A09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vederea acordării punctajului su</w:t>
      </w:r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 preţurile totale ofertate pentru execuţia lucrărilor exclusiv TVA.</w:t>
      </w:r>
    </w:p>
    <w:p w:rsidR="003068FD" w:rsidRPr="003068FD" w:rsidRDefault="003068FD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termenul de executare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3068FD" w:rsidRPr="003068FD" w:rsidRDefault="003068FD" w:rsidP="00A107E5">
      <w:pPr>
        <w:numPr>
          <w:ilvl w:val="0"/>
          <w:numId w:val="3"/>
        </w:numPr>
        <w:tabs>
          <w:tab w:val="clear" w:pos="1215"/>
          <w:tab w:val="left" w:pos="1080"/>
        </w:tabs>
        <w:spacing w:after="0" w:line="240" w:lineRule="auto"/>
        <w:ind w:left="630" w:hanging="63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cel </w:t>
      </w:r>
      <w:r w:rsidR="00FE1257">
        <w:rPr>
          <w:rFonts w:ascii="Baltica RR" w:eastAsia="Times New Roman" w:hAnsi="Baltica RR" w:cs="Times New Roman"/>
          <w:sz w:val="24"/>
          <w:szCs w:val="24"/>
          <w:lang w:val="ro-RO"/>
        </w:rPr>
        <w:t>minim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dintre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>termenele de executare</w:t>
      </w:r>
      <w:r w:rsidR="001A101B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inaintate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punctajul maxim alocat factorului de evaluare respectiv;</w:t>
      </w:r>
    </w:p>
    <w:p w:rsidR="003068FD" w:rsidRPr="003068FD" w:rsidRDefault="003068FD" w:rsidP="00A107E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-1" w:firstLine="1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>termen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dec</w:t>
      </w:r>
      <w:r w:rsidR="00757A09">
        <w:rPr>
          <w:rFonts w:ascii="Baltica RR" w:eastAsia="Times New Roman" w:hAnsi="Baltica RR" w:cs="Times New Roman"/>
          <w:sz w:val="24"/>
          <w:szCs w:val="24"/>
          <w:lang w:val="ro-RO"/>
        </w:rPr>
        <w:t>â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t cel  prevăzut la lit. a) se acordă punctajul astfel:</w:t>
      </w:r>
    </w:p>
    <w:p w:rsidR="003068FD" w:rsidRDefault="00B56784" w:rsidP="00A107E5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T</w:t>
      </w:r>
      <w:r w:rsidR="003068FD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= (</w:t>
      </w:r>
      <w:r w:rsid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termen </w:t>
      </w:r>
      <w:r w:rsidR="00FE1257">
        <w:rPr>
          <w:rFonts w:ascii="Baltica RR" w:eastAsia="Times New Roman" w:hAnsi="Baltica RR" w:cs="Times New Roman"/>
          <w:b/>
          <w:sz w:val="24"/>
          <w:szCs w:val="24"/>
          <w:lang w:val="ro-RO"/>
        </w:rPr>
        <w:t>minim</w:t>
      </w:r>
      <w:r w:rsid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</w:t>
      </w:r>
      <w:r w:rsidR="003068FD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/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termen </w:t>
      </w:r>
      <w:r w:rsidR="003068FD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x punctajului maxim alocat).</w:t>
      </w:r>
    </w:p>
    <w:p w:rsidR="00B56784" w:rsidRPr="003068FD" w:rsidRDefault="00B56784" w:rsidP="00A107E5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</w:p>
    <w:p w:rsidR="00B56784" w:rsidRPr="003068FD" w:rsidRDefault="00B56784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termenul de garanție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B56784" w:rsidRPr="003068FD" w:rsidRDefault="00B56784" w:rsidP="00F9245C">
      <w:pPr>
        <w:numPr>
          <w:ilvl w:val="0"/>
          <w:numId w:val="4"/>
        </w:numPr>
        <w:tabs>
          <w:tab w:val="clear" w:pos="1215"/>
          <w:tab w:val="num" w:pos="630"/>
          <w:tab w:val="left" w:pos="1080"/>
        </w:tabs>
        <w:spacing w:after="0" w:line="240" w:lineRule="auto"/>
        <w:ind w:left="709" w:hanging="709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cel </w:t>
      </w:r>
      <w:r w:rsidR="00FE1257">
        <w:rPr>
          <w:rFonts w:ascii="Baltica RR" w:eastAsia="Times New Roman" w:hAnsi="Baltica RR" w:cs="Times New Roman"/>
          <w:sz w:val="24"/>
          <w:szCs w:val="24"/>
          <w:lang w:val="ro-RO"/>
        </w:rPr>
        <w:t>maxim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dintre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>termenele de garanție</w:t>
      </w:r>
      <w:r w:rsidR="001A101B" w:rsidRPr="001A101B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inaintate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punctajul maxim alocat factorului de evaluare respectiv;</w:t>
      </w:r>
    </w:p>
    <w:p w:rsidR="00B56784" w:rsidRPr="003068FD" w:rsidRDefault="00B56784" w:rsidP="00A107E5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-1" w:firstLine="1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>termen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dec</w:t>
      </w:r>
      <w:r w:rsidR="00F9245C">
        <w:rPr>
          <w:rFonts w:ascii="Baltica RR" w:eastAsia="Times New Roman" w:hAnsi="Baltica RR" w:cs="Times New Roman"/>
          <w:sz w:val="24"/>
          <w:szCs w:val="24"/>
          <w:lang w:val="ro-RO"/>
        </w:rPr>
        <w:t>â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t cel  prevăzut la lit. a) se acordă punctajul astfel:</w:t>
      </w:r>
    </w:p>
    <w:p w:rsidR="00B56784" w:rsidRDefault="00B56784" w:rsidP="00A107E5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T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= (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termen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(n)/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termen </w:t>
      </w:r>
      <w:r w:rsidR="00FE1257">
        <w:rPr>
          <w:rFonts w:ascii="Baltica RR" w:eastAsia="Times New Roman" w:hAnsi="Baltica RR" w:cs="Times New Roman"/>
          <w:b/>
          <w:sz w:val="24"/>
          <w:szCs w:val="24"/>
          <w:lang w:val="ro-RO"/>
        </w:rPr>
        <w:t>maxim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x punctajului maxim alocat).</w:t>
      </w:r>
    </w:p>
    <w:p w:rsidR="00464DA9" w:rsidRPr="003068FD" w:rsidRDefault="00464DA9" w:rsidP="00A107E5">
      <w:pPr>
        <w:spacing w:after="0" w:line="240" w:lineRule="auto"/>
        <w:ind w:left="709" w:hanging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</w:p>
    <w:p w:rsidR="00B56784" w:rsidRPr="00A107E5" w:rsidRDefault="00972502" w:rsidP="00A107E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07E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A107E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Punctajul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factorul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>sistemul</w:t>
      </w:r>
      <w:proofErr w:type="spellEnd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>calității</w:t>
      </w:r>
      <w:proofErr w:type="spellEnd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>propus</w:t>
      </w:r>
      <w:proofErr w:type="spellEnd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>execuția</w:t>
      </w:r>
      <w:proofErr w:type="spellEnd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>lucrării</w:t>
      </w:r>
      <w:proofErr w:type="spellEnd"/>
      <w:r w:rsidR="00464DA9" w:rsidRPr="00A107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ân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prezentare,rigurozitatea</w:t>
      </w:r>
      <w:proofErr w:type="spellEnd"/>
      <w:proofErr w:type="gram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descrierii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aplicat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lucrare</w:t>
      </w:r>
      <w:proofErr w:type="spellEnd"/>
      <w:r w:rsidR="00464DA9" w:rsidRPr="00A107E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0DB1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precu</w:t>
      </w:r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acoperire</w:t>
      </w:r>
      <w:proofErr w:type="spellEnd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ceri</w:t>
      </w:r>
      <w:r w:rsidRPr="00A107E5">
        <w:rPr>
          <w:rFonts w:ascii="Times New Roman" w:hAnsi="Times New Roman" w:cs="Times New Roman"/>
          <w:sz w:val="24"/>
          <w:szCs w:val="24"/>
          <w:lang w:val="en-US"/>
        </w:rPr>
        <w:t>nțelor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procedurile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pli</w:t>
      </w:r>
      <w:r w:rsidRPr="00A107E5">
        <w:rPr>
          <w:rFonts w:ascii="Times New Roman" w:hAnsi="Times New Roman" w:cs="Times New Roman"/>
          <w:sz w:val="24"/>
          <w:szCs w:val="24"/>
          <w:lang w:val="en-US"/>
        </w:rPr>
        <w:t>cate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de control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Clasamentul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căruia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câștigătoare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întocmește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ân</w:t>
      </w:r>
      <w:proofErr w:type="spellEnd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="00A107E5"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descrescătoare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07E5">
        <w:rPr>
          <w:rFonts w:ascii="Times New Roman" w:hAnsi="Times New Roman" w:cs="Times New Roman"/>
          <w:sz w:val="24"/>
          <w:szCs w:val="24"/>
          <w:lang w:val="en-US"/>
        </w:rPr>
        <w:t>acordat</w:t>
      </w:r>
      <w:proofErr w:type="spellEnd"/>
      <w:r w:rsidRPr="00A107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6784" w:rsidRPr="00A107E5" w:rsidRDefault="00B56784" w:rsidP="00A107E5">
      <w:pPr>
        <w:ind w:left="709" w:hanging="709"/>
        <w:jc w:val="both"/>
        <w:rPr>
          <w:sz w:val="24"/>
          <w:szCs w:val="24"/>
          <w:lang w:val="en-US"/>
        </w:rPr>
      </w:pPr>
    </w:p>
    <w:p w:rsidR="00F77CD1" w:rsidRDefault="00F77CD1" w:rsidP="003068FD">
      <w:pPr>
        <w:rPr>
          <w:lang w:val="en-US"/>
        </w:rPr>
      </w:pPr>
    </w:p>
    <w:p w:rsidR="00F77CD1" w:rsidRPr="00757A09" w:rsidRDefault="00F77CD1" w:rsidP="00F77C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  <w:proofErr w:type="spellStart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Președintele</w:t>
      </w:r>
      <w:proofErr w:type="spellEnd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Grupului</w:t>
      </w:r>
      <w:proofErr w:type="spellEnd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lucru</w:t>
      </w:r>
      <w:proofErr w:type="spellEnd"/>
    </w:p>
    <w:p w:rsidR="00F77CD1" w:rsidRPr="00757A09" w:rsidRDefault="00F77CD1" w:rsidP="00F77C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  <w:proofErr w:type="spellStart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achiziții</w:t>
      </w:r>
      <w:proofErr w:type="spellEnd"/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IGP                                                </w:t>
      </w:r>
    </w:p>
    <w:p w:rsidR="00F77CD1" w:rsidRPr="00F77CD1" w:rsidRDefault="00F77CD1" w:rsidP="00F77C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  <w:proofErr w:type="spellStart"/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comisar</w:t>
      </w:r>
      <w:proofErr w:type="spellEnd"/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șef</w:t>
      </w:r>
      <w:proofErr w:type="spellEnd"/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B2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proofErr w:type="spellStart"/>
      <w:r w:rsidR="00B2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semnat</w:t>
      </w:r>
      <w:proofErr w:type="spellEnd"/>
      <w:r w:rsidR="00B2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2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proofErr w:type="spellStart"/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Viorel</w:t>
      </w:r>
      <w:proofErr w:type="spellEnd"/>
      <w:r w:rsidRPr="00F7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GANDRABUR</w:t>
      </w:r>
    </w:p>
    <w:p w:rsidR="00F77CD1" w:rsidRPr="00F77CD1" w:rsidRDefault="00F77CD1" w:rsidP="00F77C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CD1" w:rsidRPr="003068FD" w:rsidRDefault="00F77CD1" w:rsidP="003068FD">
      <w:pPr>
        <w:rPr>
          <w:lang w:val="en-US"/>
        </w:rPr>
      </w:pPr>
    </w:p>
    <w:sectPr w:rsidR="00F77CD1" w:rsidRPr="003068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173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" w15:restartNumberingAfterBreak="0">
    <w:nsid w:val="27954B33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" w15:restartNumberingAfterBreak="0">
    <w:nsid w:val="47F379CF"/>
    <w:multiLevelType w:val="hybridMultilevel"/>
    <w:tmpl w:val="7DEAF0CA"/>
    <w:lvl w:ilvl="0" w:tplc="522C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3B0A18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6E"/>
    <w:rsid w:val="00170DB1"/>
    <w:rsid w:val="001A101B"/>
    <w:rsid w:val="001A7FF3"/>
    <w:rsid w:val="001B5AEA"/>
    <w:rsid w:val="003068FD"/>
    <w:rsid w:val="003416C8"/>
    <w:rsid w:val="00464DA9"/>
    <w:rsid w:val="004729FC"/>
    <w:rsid w:val="00496EAF"/>
    <w:rsid w:val="005447A1"/>
    <w:rsid w:val="00757A09"/>
    <w:rsid w:val="008B676E"/>
    <w:rsid w:val="00972502"/>
    <w:rsid w:val="00A107E5"/>
    <w:rsid w:val="00B24BA8"/>
    <w:rsid w:val="00B56784"/>
    <w:rsid w:val="00C97F32"/>
    <w:rsid w:val="00F46910"/>
    <w:rsid w:val="00F77CD1"/>
    <w:rsid w:val="00F9245C"/>
    <w:rsid w:val="00FE1257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DC017-6D5C-42A5-9FBB-0889D92D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Reghina</cp:lastModifiedBy>
  <cp:revision>2</cp:revision>
  <dcterms:created xsi:type="dcterms:W3CDTF">2018-08-16T06:13:00Z</dcterms:created>
  <dcterms:modified xsi:type="dcterms:W3CDTF">2018-08-16T06:13:00Z</dcterms:modified>
</cp:coreProperties>
</file>