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CF" w:rsidRPr="00607ECF" w:rsidRDefault="00607ECF" w:rsidP="00607E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607ECF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 xml:space="preserve">Anexă la </w:t>
      </w:r>
    </w:p>
    <w:p w:rsidR="00F77CD1" w:rsidRPr="00607ECF" w:rsidRDefault="00607ECF" w:rsidP="00607E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607ECF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Anunțul de participare</w:t>
      </w:r>
    </w:p>
    <w:p w:rsidR="003068FD" w:rsidRPr="00F77CD1" w:rsidRDefault="003068FD" w:rsidP="003068FD">
      <w:pPr>
        <w:spacing w:before="100" w:beforeAutospacing="1" w:after="100" w:afterAutospacing="1" w:line="240" w:lineRule="auto"/>
        <w:ind w:firstLine="709"/>
        <w:rPr>
          <w:rFonts w:ascii="Baltica RR" w:eastAsia="Times New Roman" w:hAnsi="Baltica RR" w:cs="Times New Roman"/>
          <w:b/>
          <w:sz w:val="28"/>
          <w:szCs w:val="28"/>
          <w:lang w:val="ro-RO"/>
        </w:rPr>
      </w:pPr>
      <w:r w:rsidRPr="00F77CD1">
        <w:rPr>
          <w:rFonts w:ascii="Baltica RR" w:eastAsia="Times New Roman" w:hAnsi="Baltica RR" w:cs="Times New Roman"/>
          <w:b/>
          <w:sz w:val="28"/>
          <w:szCs w:val="28"/>
          <w:lang w:val="ro-RO"/>
        </w:rPr>
        <w:t>Tabelul punctelor de calitate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5955"/>
        <w:gridCol w:w="2978"/>
      </w:tblGrid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Nr.</w:t>
            </w:r>
          </w:p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Factorii de evaluare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Punctajul acordat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Preţul ofertei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80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607ECF" w:rsidP="00AB3C34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Perioada</w:t>
            </w:r>
            <w:r w:rsid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 xml:space="preserve"> de execu</w:t>
            </w:r>
            <w:r w:rsidR="00AB3C34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ție</w:t>
            </w:r>
            <w:r w:rsid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 xml:space="preserve"> a lucrărilor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607ECF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10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607ECF" w:rsidP="00AB3C34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 xml:space="preserve">Perioada </w:t>
            </w:r>
            <w:r w:rsid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de garanție a</w:t>
            </w:r>
            <w:r w:rsidR="00AB3C34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supra</w:t>
            </w:r>
            <w:r w:rsid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 xml:space="preserve"> lucrărilor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607ECF" w:rsidP="00ED0D78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10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100</w:t>
            </w:r>
          </w:p>
        </w:tc>
      </w:tr>
    </w:tbl>
    <w:p w:rsidR="003068FD" w:rsidRDefault="003068FD" w:rsidP="003068FD">
      <w:pPr>
        <w:spacing w:after="0" w:line="240" w:lineRule="auto"/>
        <w:ind w:firstLine="708"/>
        <w:rPr>
          <w:rFonts w:ascii="Baltica RR" w:eastAsia="Times New Roman" w:hAnsi="Baltica RR" w:cs="Times New Roman"/>
          <w:sz w:val="24"/>
          <w:szCs w:val="24"/>
          <w:lang w:val="ro-RO"/>
        </w:rPr>
      </w:pPr>
    </w:p>
    <w:p w:rsidR="00607ECF" w:rsidRPr="00F372A3" w:rsidRDefault="00607ECF" w:rsidP="003068FD">
      <w:pPr>
        <w:spacing w:after="0" w:line="240" w:lineRule="auto"/>
        <w:ind w:firstLine="708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 w:rsidRPr="00F372A3">
        <w:rPr>
          <w:rFonts w:ascii="Baltica RR" w:eastAsia="Times New Roman" w:hAnsi="Baltica RR" w:cs="Times New Roman"/>
          <w:b/>
          <w:sz w:val="24"/>
          <w:szCs w:val="24"/>
          <w:lang w:val="ro-RO"/>
        </w:rPr>
        <w:t>În cazul aplicării acestei variante următoarele prevederi sânt obligatorii:</w:t>
      </w:r>
    </w:p>
    <w:p w:rsidR="00F372A3" w:rsidRPr="003068FD" w:rsidRDefault="00F372A3" w:rsidP="003068FD">
      <w:pPr>
        <w:spacing w:after="0" w:line="240" w:lineRule="auto"/>
        <w:ind w:firstLine="708"/>
        <w:rPr>
          <w:rFonts w:ascii="Baltica RR" w:eastAsia="Times New Roman" w:hAnsi="Baltica RR" w:cs="Times New Roman"/>
          <w:sz w:val="24"/>
          <w:szCs w:val="24"/>
          <w:lang w:val="ro-RO"/>
        </w:rPr>
      </w:pPr>
    </w:p>
    <w:p w:rsidR="003068FD" w:rsidRPr="003068FD" w:rsidRDefault="003068FD" w:rsidP="00A107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Punctajul pentru factorul de evaluare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„preţul ofertei”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astfel:</w:t>
      </w:r>
    </w:p>
    <w:p w:rsidR="003068FD" w:rsidRDefault="003068FD" w:rsidP="00A107E5">
      <w:pPr>
        <w:numPr>
          <w:ilvl w:val="0"/>
          <w:numId w:val="1"/>
        </w:numPr>
        <w:tabs>
          <w:tab w:val="clear" w:pos="1215"/>
          <w:tab w:val="num" w:pos="630"/>
          <w:tab w:val="left" w:pos="1080"/>
        </w:tabs>
        <w:spacing w:after="0" w:line="240" w:lineRule="auto"/>
        <w:ind w:hanging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pentru cel mai scăzut dintre preţurile ofertelor se acordă punctajul maxim alocat factorului de evaluare respectiv;</w:t>
      </w:r>
    </w:p>
    <w:p w:rsidR="00AB3C34" w:rsidRPr="003068FD" w:rsidRDefault="00AB3C34" w:rsidP="00AB3C34">
      <w:pPr>
        <w:numPr>
          <w:ilvl w:val="0"/>
          <w:numId w:val="3"/>
        </w:numPr>
        <w:tabs>
          <w:tab w:val="left" w:pos="630"/>
        </w:tabs>
        <w:spacing w:after="0" w:line="240" w:lineRule="auto"/>
        <w:ind w:hanging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alt preţ decât cel  prevăzut la lit. </w:t>
      </w:r>
      <w:r>
        <w:rPr>
          <w:rFonts w:ascii="Baltica RR" w:eastAsia="Times New Roman" w:hAnsi="Baltica RR" w:cs="Times New Roman"/>
          <w:sz w:val="24"/>
          <w:szCs w:val="24"/>
          <w:lang w:val="ro-RO"/>
        </w:rPr>
        <w:t xml:space="preserve">a).,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se acordă punctajul astfel:</w:t>
      </w:r>
    </w:p>
    <w:p w:rsidR="00AB3C34" w:rsidRPr="003068FD" w:rsidRDefault="00AB3C34" w:rsidP="00AB3C34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P</w:t>
      </w:r>
      <w:r w:rsidR="00F372A3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ofertei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= (preţ minim/preţ (n) x punctajului maxim alocat).</w:t>
      </w:r>
    </w:p>
    <w:p w:rsidR="00662319" w:rsidRDefault="00662319" w:rsidP="00662319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068F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Preţurile care se compară în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vederea acordării punctajului su</w:t>
      </w:r>
      <w:r w:rsidRPr="003068F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 preţurile totale ofertate pentru execuţia lucrărilor exclusiv TVA.</w:t>
      </w:r>
    </w:p>
    <w:p w:rsidR="00AB3C34" w:rsidRPr="003068FD" w:rsidRDefault="00AB3C34" w:rsidP="00AB3C34">
      <w:pPr>
        <w:tabs>
          <w:tab w:val="left" w:pos="1080"/>
        </w:tabs>
        <w:spacing w:after="0" w:line="240" w:lineRule="auto"/>
        <w:ind w:left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</w:p>
    <w:p w:rsidR="003068FD" w:rsidRPr="003068FD" w:rsidRDefault="003068FD" w:rsidP="00A107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Punctajul pentru factorul de evaluare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„</w:t>
      </w:r>
      <w:r w:rsidR="009C24E5">
        <w:rPr>
          <w:rFonts w:ascii="Baltica RR" w:eastAsia="Times New Roman" w:hAnsi="Baltica RR" w:cs="Times New Roman"/>
          <w:b/>
          <w:sz w:val="24"/>
          <w:szCs w:val="24"/>
          <w:lang w:val="ro-RO"/>
        </w:rPr>
        <w:t>perioada</w:t>
      </w:r>
      <w:r w:rsidR="00AB3C34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de execu</w:t>
      </w:r>
      <w:r w:rsidR="00AB3C34">
        <w:rPr>
          <w:rFonts w:ascii="Baltica RR" w:eastAsia="Times New Roman" w:hAnsi="Baltica RR" w:cs="Times New Roman"/>
          <w:b/>
          <w:sz w:val="24"/>
          <w:szCs w:val="24"/>
          <w:lang w:val="ro-RO"/>
        </w:rPr>
        <w:t>ție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”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astfel:</w:t>
      </w:r>
    </w:p>
    <w:p w:rsidR="003068FD" w:rsidRPr="003068FD" w:rsidRDefault="003068FD" w:rsidP="00A107E5">
      <w:pPr>
        <w:numPr>
          <w:ilvl w:val="0"/>
          <w:numId w:val="3"/>
        </w:numPr>
        <w:tabs>
          <w:tab w:val="clear" w:pos="1215"/>
          <w:tab w:val="left" w:pos="1080"/>
        </w:tabs>
        <w:spacing w:after="0" w:line="240" w:lineRule="auto"/>
        <w:ind w:left="630" w:hanging="63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pentru ce</w:t>
      </w:r>
      <w:r w:rsidR="00607ECF">
        <w:rPr>
          <w:rFonts w:ascii="Baltica RR" w:eastAsia="Times New Roman" w:hAnsi="Baltica RR" w:cs="Times New Roman"/>
          <w:sz w:val="24"/>
          <w:szCs w:val="24"/>
          <w:lang w:val="ro-RO"/>
        </w:rPr>
        <w:t>a mai mică perioadă de execuție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punctajul maxim alocat factorului de evaluare respectiv;</w:t>
      </w:r>
    </w:p>
    <w:p w:rsidR="00607ECF" w:rsidRPr="003068FD" w:rsidRDefault="00607ECF" w:rsidP="00607ECF">
      <w:pPr>
        <w:numPr>
          <w:ilvl w:val="0"/>
          <w:numId w:val="3"/>
        </w:numPr>
        <w:tabs>
          <w:tab w:val="left" w:pos="630"/>
        </w:tabs>
        <w:spacing w:after="0" w:line="240" w:lineRule="auto"/>
        <w:ind w:hanging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alt </w:t>
      </w:r>
      <w:r w:rsidR="00AB3C34">
        <w:rPr>
          <w:rFonts w:ascii="Baltica RR" w:eastAsia="Times New Roman" w:hAnsi="Baltica RR" w:cs="Times New Roman"/>
          <w:sz w:val="24"/>
          <w:szCs w:val="24"/>
          <w:lang w:val="ro-RO"/>
        </w:rPr>
        <w:t>termen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decât cel  prevăzut la lit. </w:t>
      </w:r>
      <w:r>
        <w:rPr>
          <w:rFonts w:ascii="Baltica RR" w:eastAsia="Times New Roman" w:hAnsi="Baltica RR" w:cs="Times New Roman"/>
          <w:sz w:val="24"/>
          <w:szCs w:val="24"/>
          <w:lang w:val="ro-RO"/>
        </w:rPr>
        <w:t xml:space="preserve">a).,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se acordă punctajul astfel:</w:t>
      </w:r>
    </w:p>
    <w:p w:rsidR="00607ECF" w:rsidRDefault="00AB3C34" w:rsidP="00607ECF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P</w:t>
      </w:r>
      <w:r w:rsidR="00F372A3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executie </w:t>
      </w:r>
      <w:r w:rsidR="00607ECF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= (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termen</w:t>
      </w:r>
      <w:r w:rsidR="00607ECF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minim/</w:t>
      </w:r>
      <w:r w:rsidR="00F372A3">
        <w:rPr>
          <w:rFonts w:ascii="Baltica RR" w:eastAsia="Times New Roman" w:hAnsi="Baltica RR" w:cs="Times New Roman"/>
          <w:b/>
          <w:sz w:val="24"/>
          <w:szCs w:val="24"/>
          <w:lang w:val="ro-RO"/>
        </w:rPr>
        <w:t>termen</w:t>
      </w:r>
      <w:r w:rsidR="00607ECF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x punctajului maxim alocat).</w:t>
      </w:r>
    </w:p>
    <w:p w:rsidR="00B67053" w:rsidRPr="003068FD" w:rsidRDefault="00B67053" w:rsidP="00607ECF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89265F" w:rsidRPr="0089265F" w:rsidRDefault="0089265F" w:rsidP="00607ECF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89265F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Perioada de execuție prezentată în ofertă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ce va fi </w:t>
      </w:r>
      <w:r w:rsidRPr="0089265F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mai mare decît ce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a</w:t>
      </w:r>
      <w:r w:rsidRPr="0089265F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 solicitată în pct.11 din anunțul de participare va fi considerată neconformă și va fi motiv de respingere a ofertei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.</w:t>
      </w:r>
    </w:p>
    <w:p w:rsidR="00B56784" w:rsidRPr="00AB3C34" w:rsidRDefault="00607ECF" w:rsidP="00AB3C3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AB3C34">
        <w:rPr>
          <w:rFonts w:ascii="Baltica RR" w:eastAsia="Times New Roman" w:hAnsi="Baltica RR" w:cs="Times New Roman"/>
          <w:sz w:val="24"/>
          <w:szCs w:val="24"/>
          <w:lang w:val="ro-RO"/>
        </w:rPr>
        <w:t>Pentru o perioadă de garanție egală sau mai mare decât cea solicitată de către autoritatea contractată se acordă punctajul maxim – 10 pct.</w:t>
      </w:r>
    </w:p>
    <w:p w:rsidR="00B56784" w:rsidRDefault="00B56784" w:rsidP="00A107E5">
      <w:pPr>
        <w:ind w:left="709" w:hanging="709"/>
        <w:jc w:val="both"/>
        <w:rPr>
          <w:sz w:val="24"/>
          <w:szCs w:val="24"/>
          <w:lang w:val="en-US"/>
        </w:rPr>
      </w:pPr>
    </w:p>
    <w:p w:rsidR="0089265F" w:rsidRPr="00A107E5" w:rsidRDefault="0089265F" w:rsidP="00A107E5">
      <w:pPr>
        <w:ind w:left="709" w:hanging="709"/>
        <w:jc w:val="both"/>
        <w:rPr>
          <w:sz w:val="24"/>
          <w:szCs w:val="24"/>
          <w:lang w:val="en-US"/>
        </w:rPr>
      </w:pPr>
    </w:p>
    <w:p w:rsidR="00F77CD1" w:rsidRDefault="00F77CD1" w:rsidP="003068FD">
      <w:pPr>
        <w:rPr>
          <w:lang w:val="en-US"/>
        </w:rPr>
      </w:pPr>
    </w:p>
    <w:p w:rsidR="00F77CD1" w:rsidRPr="00607ECF" w:rsidRDefault="00F77CD1" w:rsidP="006623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</w:t>
      </w:r>
    </w:p>
    <w:p w:rsidR="00F77CD1" w:rsidRPr="003068FD" w:rsidRDefault="00F77CD1" w:rsidP="003068FD">
      <w:pPr>
        <w:rPr>
          <w:lang w:val="en-US"/>
        </w:rPr>
      </w:pPr>
    </w:p>
    <w:sectPr w:rsidR="00F77CD1" w:rsidRPr="003068F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5173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">
    <w:nsid w:val="27954B33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">
    <w:nsid w:val="47F379CF"/>
    <w:multiLevelType w:val="hybridMultilevel"/>
    <w:tmpl w:val="7DEAF0CA"/>
    <w:lvl w:ilvl="0" w:tplc="522CE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B0A18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6E"/>
    <w:rsid w:val="00170DB1"/>
    <w:rsid w:val="001A101B"/>
    <w:rsid w:val="001A7FF3"/>
    <w:rsid w:val="001B5AEA"/>
    <w:rsid w:val="003068FD"/>
    <w:rsid w:val="003416C8"/>
    <w:rsid w:val="00464DA9"/>
    <w:rsid w:val="004729FC"/>
    <w:rsid w:val="00496EAF"/>
    <w:rsid w:val="004A60D4"/>
    <w:rsid w:val="005447A1"/>
    <w:rsid w:val="00607ECF"/>
    <w:rsid w:val="00662319"/>
    <w:rsid w:val="00757A09"/>
    <w:rsid w:val="00781256"/>
    <w:rsid w:val="0089265F"/>
    <w:rsid w:val="008B676E"/>
    <w:rsid w:val="00972502"/>
    <w:rsid w:val="009C24E5"/>
    <w:rsid w:val="00A107E5"/>
    <w:rsid w:val="00AB3C34"/>
    <w:rsid w:val="00B24BA8"/>
    <w:rsid w:val="00B56784"/>
    <w:rsid w:val="00B67053"/>
    <w:rsid w:val="00C97F32"/>
    <w:rsid w:val="00F372A3"/>
    <w:rsid w:val="00F77CD1"/>
    <w:rsid w:val="00F9245C"/>
    <w:rsid w:val="00FE1257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90DA-0151-4995-9D6B-4CBF0622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2020-02-18T07:44:00Z</cp:lastPrinted>
  <dcterms:created xsi:type="dcterms:W3CDTF">2020-02-17T15:17:00Z</dcterms:created>
  <dcterms:modified xsi:type="dcterms:W3CDTF">2020-02-18T07:52:00Z</dcterms:modified>
</cp:coreProperties>
</file>